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5B08" w14:textId="77777777" w:rsidR="00C61874" w:rsidRDefault="00C61874" w:rsidP="00C61874">
      <w:pPr>
        <w:spacing w:line="360" w:lineRule="auto"/>
        <w:jc w:val="center"/>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b/>
          <w:bCs/>
          <w:color w:val="000000" w:themeColor="text1"/>
          <w:sz w:val="20"/>
          <w:szCs w:val="20"/>
        </w:rPr>
        <w:t>İNSAN TÜKRÜK/SALİVA ELİSA KORTİZOL KİTİ TEKNİK ŞARTNAMESİ</w:t>
      </w:r>
    </w:p>
    <w:p w14:paraId="55E8202A"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1. Kitler insan tükürük kortizol düzeylerini yüksek hassasiyetle kantitatif olarak ölçmek için özel olarak tasarlanmış olmalıdır.</w:t>
      </w:r>
    </w:p>
    <w:p w14:paraId="4526D86E"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2. Kitler 96 adet numuneyi bir kerede çalışabilecek şekilde olmalıdır.</w:t>
      </w:r>
    </w:p>
    <w:p w14:paraId="7E49C062"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 xml:space="preserve">3. Kitlerin çalışma prensibi/yöntemi </w:t>
      </w:r>
      <w:proofErr w:type="spellStart"/>
      <w:r w:rsidRPr="5D4312B7">
        <w:rPr>
          <w:rFonts w:ascii="Times New Roman" w:eastAsia="Times New Roman" w:hAnsi="Times New Roman" w:cs="Times New Roman"/>
          <w:color w:val="000000" w:themeColor="text1"/>
          <w:sz w:val="20"/>
          <w:szCs w:val="20"/>
        </w:rPr>
        <w:t>Enzyme-Linked</w:t>
      </w:r>
      <w:proofErr w:type="spellEnd"/>
      <w:r w:rsidRPr="5D4312B7">
        <w:rPr>
          <w:rFonts w:ascii="Times New Roman" w:eastAsia="Times New Roman" w:hAnsi="Times New Roman" w:cs="Times New Roman"/>
          <w:color w:val="000000" w:themeColor="text1"/>
          <w:sz w:val="20"/>
          <w:szCs w:val="20"/>
        </w:rPr>
        <w:t xml:space="preserve"> </w:t>
      </w:r>
      <w:proofErr w:type="spellStart"/>
      <w:r w:rsidRPr="5D4312B7">
        <w:rPr>
          <w:rFonts w:ascii="Times New Roman" w:eastAsia="Times New Roman" w:hAnsi="Times New Roman" w:cs="Times New Roman"/>
          <w:color w:val="000000" w:themeColor="text1"/>
          <w:sz w:val="20"/>
          <w:szCs w:val="20"/>
        </w:rPr>
        <w:t>ImmunoSorbent</w:t>
      </w:r>
      <w:proofErr w:type="spellEnd"/>
      <w:r w:rsidRPr="5D4312B7">
        <w:rPr>
          <w:rFonts w:ascii="Times New Roman" w:eastAsia="Times New Roman" w:hAnsi="Times New Roman" w:cs="Times New Roman"/>
          <w:color w:val="000000" w:themeColor="text1"/>
          <w:sz w:val="20"/>
          <w:szCs w:val="20"/>
        </w:rPr>
        <w:t xml:space="preserve"> </w:t>
      </w:r>
      <w:proofErr w:type="spellStart"/>
      <w:r w:rsidRPr="5D4312B7">
        <w:rPr>
          <w:rFonts w:ascii="Times New Roman" w:eastAsia="Times New Roman" w:hAnsi="Times New Roman" w:cs="Times New Roman"/>
          <w:color w:val="000000" w:themeColor="text1"/>
          <w:sz w:val="20"/>
          <w:szCs w:val="20"/>
        </w:rPr>
        <w:t>Assay</w:t>
      </w:r>
      <w:proofErr w:type="spellEnd"/>
      <w:r w:rsidRPr="5D4312B7">
        <w:rPr>
          <w:rFonts w:ascii="Times New Roman" w:eastAsia="Times New Roman" w:hAnsi="Times New Roman" w:cs="Times New Roman"/>
          <w:color w:val="000000" w:themeColor="text1"/>
          <w:sz w:val="20"/>
          <w:szCs w:val="20"/>
        </w:rPr>
        <w:t>/ELISA ile çift olmalıdır.</w:t>
      </w:r>
    </w:p>
    <w:p w14:paraId="6E667A4B"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4. Deney sonuçları 450 nm dalga boyunda ELISA okuyucusunda okunabilmelidir.</w:t>
      </w:r>
    </w:p>
    <w:p w14:paraId="6C6E717A"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 xml:space="preserve">5. Kitlerin saklama koşulları, üretim, son kullanma tarihleri ve seri numarası orijinal olarak ambalajının üzerinde belirtilmelidir. </w:t>
      </w:r>
    </w:p>
    <w:p w14:paraId="64043441"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105580DA"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6. Kitlerin miadı teslim tarihinden itibaren en az 6 ay süreli olmalıdır.</w:t>
      </w:r>
    </w:p>
    <w:p w14:paraId="3B3CD980"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 xml:space="preserve">7. Kit içeriğinde </w:t>
      </w:r>
      <w:proofErr w:type="gramStart"/>
      <w:r w:rsidRPr="5D4312B7">
        <w:rPr>
          <w:rFonts w:ascii="Times New Roman" w:eastAsia="Times New Roman" w:hAnsi="Times New Roman" w:cs="Times New Roman"/>
          <w:color w:val="000000" w:themeColor="text1"/>
          <w:sz w:val="20"/>
          <w:szCs w:val="20"/>
        </w:rPr>
        <w:t xml:space="preserve">96 </w:t>
      </w:r>
      <w:proofErr w:type="spellStart"/>
      <w:r w:rsidRPr="5D4312B7">
        <w:rPr>
          <w:rFonts w:ascii="Times New Roman" w:eastAsia="Times New Roman" w:hAnsi="Times New Roman" w:cs="Times New Roman"/>
          <w:color w:val="000000" w:themeColor="text1"/>
          <w:sz w:val="20"/>
          <w:szCs w:val="20"/>
        </w:rPr>
        <w:t>lık</w:t>
      </w:r>
      <w:proofErr w:type="spellEnd"/>
      <w:proofErr w:type="gramEnd"/>
      <w:r w:rsidRPr="5D4312B7">
        <w:rPr>
          <w:rFonts w:ascii="Times New Roman" w:eastAsia="Times New Roman" w:hAnsi="Times New Roman" w:cs="Times New Roman"/>
          <w:color w:val="000000" w:themeColor="text1"/>
          <w:sz w:val="20"/>
          <w:szCs w:val="20"/>
        </w:rPr>
        <w:t xml:space="preserve"> </w:t>
      </w:r>
      <w:proofErr w:type="spellStart"/>
      <w:r w:rsidRPr="5D4312B7">
        <w:rPr>
          <w:rFonts w:ascii="Times New Roman" w:eastAsia="Times New Roman" w:hAnsi="Times New Roman" w:cs="Times New Roman"/>
          <w:color w:val="000000" w:themeColor="text1"/>
          <w:sz w:val="20"/>
          <w:szCs w:val="20"/>
        </w:rPr>
        <w:t>microtitre</w:t>
      </w:r>
      <w:proofErr w:type="spellEnd"/>
      <w:r w:rsidRPr="5D4312B7">
        <w:rPr>
          <w:rFonts w:ascii="Times New Roman" w:eastAsia="Times New Roman" w:hAnsi="Times New Roman" w:cs="Times New Roman"/>
          <w:color w:val="000000" w:themeColor="text1"/>
          <w:sz w:val="20"/>
          <w:szCs w:val="20"/>
        </w:rPr>
        <w:t xml:space="preserve"> </w:t>
      </w:r>
      <w:proofErr w:type="spellStart"/>
      <w:r w:rsidRPr="5D4312B7">
        <w:rPr>
          <w:rFonts w:ascii="Times New Roman" w:eastAsia="Times New Roman" w:hAnsi="Times New Roman" w:cs="Times New Roman"/>
          <w:color w:val="000000" w:themeColor="text1"/>
          <w:sz w:val="20"/>
          <w:szCs w:val="20"/>
        </w:rPr>
        <w:t>plate</w:t>
      </w:r>
      <w:proofErr w:type="spellEnd"/>
      <w:r w:rsidRPr="5D4312B7">
        <w:rPr>
          <w:rFonts w:ascii="Times New Roman" w:eastAsia="Times New Roman" w:hAnsi="Times New Roman" w:cs="Times New Roman"/>
          <w:color w:val="000000" w:themeColor="text1"/>
          <w:sz w:val="20"/>
          <w:szCs w:val="20"/>
        </w:rPr>
        <w:t xml:space="preserve">, orijinal standart, kontrol, kortizol enzim konjugatı, </w:t>
      </w:r>
      <w:proofErr w:type="spellStart"/>
      <w:r w:rsidRPr="5D4312B7">
        <w:rPr>
          <w:rFonts w:ascii="Times New Roman" w:eastAsia="Times New Roman" w:hAnsi="Times New Roman" w:cs="Times New Roman"/>
          <w:color w:val="000000" w:themeColor="text1"/>
          <w:sz w:val="20"/>
          <w:szCs w:val="20"/>
        </w:rPr>
        <w:t>assay</w:t>
      </w:r>
      <w:proofErr w:type="spellEnd"/>
      <w:r w:rsidRPr="5D4312B7">
        <w:rPr>
          <w:rFonts w:ascii="Times New Roman" w:eastAsia="Times New Roman" w:hAnsi="Times New Roman" w:cs="Times New Roman"/>
          <w:color w:val="000000" w:themeColor="text1"/>
          <w:sz w:val="20"/>
          <w:szCs w:val="20"/>
        </w:rPr>
        <w:t xml:space="preserve"> </w:t>
      </w:r>
      <w:proofErr w:type="spellStart"/>
      <w:r w:rsidRPr="5D4312B7">
        <w:rPr>
          <w:rFonts w:ascii="Times New Roman" w:eastAsia="Times New Roman" w:hAnsi="Times New Roman" w:cs="Times New Roman"/>
          <w:color w:val="000000" w:themeColor="text1"/>
          <w:sz w:val="20"/>
          <w:szCs w:val="20"/>
        </w:rPr>
        <w:t>dliuent</w:t>
      </w:r>
      <w:proofErr w:type="spellEnd"/>
      <w:r w:rsidRPr="5D4312B7">
        <w:rPr>
          <w:rFonts w:ascii="Times New Roman" w:eastAsia="Times New Roman" w:hAnsi="Times New Roman" w:cs="Times New Roman"/>
          <w:color w:val="000000" w:themeColor="text1"/>
          <w:sz w:val="20"/>
          <w:szCs w:val="20"/>
        </w:rPr>
        <w:t xml:space="preserve">, yıkama solüsyonu, TMB Substrat solüsyonu, stop solüsyonu, </w:t>
      </w:r>
      <w:proofErr w:type="spellStart"/>
      <w:r w:rsidRPr="5D4312B7">
        <w:rPr>
          <w:rFonts w:ascii="Times New Roman" w:eastAsia="Times New Roman" w:hAnsi="Times New Roman" w:cs="Times New Roman"/>
          <w:color w:val="000000" w:themeColor="text1"/>
          <w:sz w:val="20"/>
          <w:szCs w:val="20"/>
        </w:rPr>
        <w:t>nsb</w:t>
      </w:r>
      <w:proofErr w:type="spellEnd"/>
      <w:r w:rsidRPr="5D4312B7">
        <w:rPr>
          <w:rFonts w:ascii="Times New Roman" w:eastAsia="Times New Roman" w:hAnsi="Times New Roman" w:cs="Times New Roman"/>
          <w:color w:val="000000" w:themeColor="text1"/>
          <w:sz w:val="20"/>
          <w:szCs w:val="20"/>
        </w:rPr>
        <w:t xml:space="preserve"> </w:t>
      </w:r>
      <w:proofErr w:type="spellStart"/>
      <w:r w:rsidRPr="5D4312B7">
        <w:rPr>
          <w:rFonts w:ascii="Times New Roman" w:eastAsia="Times New Roman" w:hAnsi="Times New Roman" w:cs="Times New Roman"/>
          <w:color w:val="000000" w:themeColor="text1"/>
          <w:sz w:val="20"/>
          <w:szCs w:val="20"/>
        </w:rPr>
        <w:t>stribi</w:t>
      </w:r>
      <w:proofErr w:type="spellEnd"/>
      <w:r w:rsidRPr="5D4312B7">
        <w:rPr>
          <w:rFonts w:ascii="Times New Roman" w:eastAsia="Times New Roman" w:hAnsi="Times New Roman" w:cs="Times New Roman"/>
          <w:color w:val="000000" w:themeColor="text1"/>
          <w:sz w:val="20"/>
          <w:szCs w:val="20"/>
        </w:rPr>
        <w:t xml:space="preserve"> bulunmalıdır. </w:t>
      </w:r>
    </w:p>
    <w:p w14:paraId="2870E715"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0E5DD378"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8. Kit içeriğinde yer almayan, fakat kit prospektüsü doğrultusunda çalışmada kullanılması gerekli olan tüm kimyasallar (kontrol, kalibratör, standart vb.) kitle birlikte verilmelidir.</w:t>
      </w:r>
    </w:p>
    <w:p w14:paraId="408656F8"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9. Tekliflerle beraber ürün bilgisi (prospektüs) orijinal formatında verilecektir.</w:t>
      </w:r>
    </w:p>
    <w:p w14:paraId="7CC340A8"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10. Tüm kit bileşenleri orijinal ambalajında ve hasar görmemiş, saklama ve taşıma koşullarına uygun şekilde teslim edilmelidir. Uygun olmayan teslim koşulları ya da çalışmanın herhangi bir basamağında reaktiflerin reaksiyon vermediği tespit edilirse uygun bir kitle değişimi yapılacaktır.</w:t>
      </w:r>
    </w:p>
    <w:p w14:paraId="699461B1" w14:textId="77777777" w:rsidR="00C61874" w:rsidRDefault="00C61874" w:rsidP="00C61874">
      <w:pPr>
        <w:spacing w:line="360" w:lineRule="auto"/>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 xml:space="preserve">11. Kitin analitik </w:t>
      </w:r>
      <w:proofErr w:type="spellStart"/>
      <w:r w:rsidRPr="5D4312B7">
        <w:rPr>
          <w:rFonts w:ascii="Times New Roman" w:eastAsia="Times New Roman" w:hAnsi="Times New Roman" w:cs="Times New Roman"/>
          <w:color w:val="000000" w:themeColor="text1"/>
          <w:sz w:val="20"/>
          <w:szCs w:val="20"/>
        </w:rPr>
        <w:t>sensitivitesi</w:t>
      </w:r>
      <w:proofErr w:type="spellEnd"/>
      <w:r w:rsidRPr="5D4312B7">
        <w:rPr>
          <w:rFonts w:ascii="Times New Roman" w:eastAsia="Times New Roman" w:hAnsi="Times New Roman" w:cs="Times New Roman"/>
          <w:color w:val="000000" w:themeColor="text1"/>
          <w:sz w:val="20"/>
          <w:szCs w:val="20"/>
        </w:rPr>
        <w:t xml:space="preserve"> 0.007 µg / dl olmalıdır.</w:t>
      </w:r>
    </w:p>
    <w:p w14:paraId="7C74BC75"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 xml:space="preserve">12.Tükürük Kortizol </w:t>
      </w:r>
      <w:proofErr w:type="spellStart"/>
      <w:r w:rsidRPr="5D4312B7">
        <w:rPr>
          <w:rFonts w:ascii="Times New Roman" w:eastAsia="Times New Roman" w:hAnsi="Times New Roman" w:cs="Times New Roman"/>
          <w:color w:val="000000" w:themeColor="text1"/>
          <w:sz w:val="20"/>
          <w:szCs w:val="20"/>
        </w:rPr>
        <w:t>elisa'nın</w:t>
      </w:r>
      <w:proofErr w:type="spellEnd"/>
      <w:r w:rsidRPr="5D4312B7">
        <w:rPr>
          <w:rFonts w:ascii="Times New Roman" w:eastAsia="Times New Roman" w:hAnsi="Times New Roman" w:cs="Times New Roman"/>
          <w:color w:val="000000" w:themeColor="text1"/>
          <w:sz w:val="20"/>
          <w:szCs w:val="20"/>
        </w:rPr>
        <w:t xml:space="preserve"> fonksiyonel duyarlılığı 0.018 µg / dl olmalıdır.</w:t>
      </w:r>
    </w:p>
    <w:p w14:paraId="256EC9B2"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263C6870"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color w:val="000000" w:themeColor="text1"/>
          <w:sz w:val="20"/>
          <w:szCs w:val="20"/>
        </w:rPr>
        <w:t>15. Kiti sağlayan firma ISO 13485:2016 belgesini ibraz etmelidir.</w:t>
      </w:r>
    </w:p>
    <w:p w14:paraId="767F620E"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0FE1BD55"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60777FC2" w14:textId="77777777" w:rsidR="00C61874" w:rsidRDefault="00C61874" w:rsidP="00C61874">
      <w:pPr>
        <w:spacing w:line="360" w:lineRule="auto"/>
        <w:jc w:val="center"/>
        <w:rPr>
          <w:rFonts w:ascii="Times New Roman" w:eastAsia="Times New Roman" w:hAnsi="Times New Roman" w:cs="Times New Roman"/>
          <w:color w:val="000000" w:themeColor="text1"/>
          <w:sz w:val="20"/>
          <w:szCs w:val="20"/>
        </w:rPr>
      </w:pPr>
      <w:r w:rsidRPr="5D4312B7">
        <w:rPr>
          <w:rFonts w:ascii="Times New Roman" w:eastAsia="Times New Roman" w:hAnsi="Times New Roman" w:cs="Times New Roman"/>
          <w:b/>
          <w:bCs/>
          <w:color w:val="000000" w:themeColor="text1"/>
          <w:sz w:val="20"/>
          <w:szCs w:val="20"/>
        </w:rPr>
        <w:t>İNSAN TÜKRÜK/SALİVA TOPLAMA KİTİ TEKNİK ŞARTNAMESİ</w:t>
      </w:r>
    </w:p>
    <w:p w14:paraId="636D2558" w14:textId="77777777" w:rsidR="00C61874" w:rsidRDefault="00C61874" w:rsidP="00C61874">
      <w:pPr>
        <w:pStyle w:val="ListeParagraf"/>
        <w:numPr>
          <w:ilvl w:val="0"/>
          <w:numId w:val="1"/>
        </w:numPr>
        <w:spacing w:after="0" w:line="258" w:lineRule="atLeast"/>
        <w:ind w:left="0" w:hanging="11"/>
        <w:jc w:val="both"/>
        <w:rPr>
          <w:rFonts w:ascii="Times New Roman" w:eastAsia="Times New Roman" w:hAnsi="Times New Roman"/>
          <w:color w:val="000000" w:themeColor="text1"/>
        </w:rPr>
      </w:pPr>
      <w:r w:rsidRPr="5D4312B7">
        <w:rPr>
          <w:rFonts w:ascii="Times New Roman" w:eastAsia="Times New Roman" w:hAnsi="Times New Roman"/>
          <w:color w:val="000000" w:themeColor="text1"/>
        </w:rPr>
        <w:t xml:space="preserve">Tükürük Toplama Aparatı, hastalardan tüm tükürük örneklerinin toplanmasını kolaylaştırmak için kullanılacaktır.  </w:t>
      </w:r>
    </w:p>
    <w:p w14:paraId="6D3E8213" w14:textId="77777777" w:rsidR="00C61874" w:rsidRDefault="00C61874" w:rsidP="00C61874">
      <w:pPr>
        <w:spacing w:after="0" w:line="258" w:lineRule="atLeast"/>
        <w:ind w:left="360"/>
        <w:jc w:val="both"/>
        <w:rPr>
          <w:rFonts w:ascii="Times New Roman" w:eastAsia="Times New Roman" w:hAnsi="Times New Roman" w:cs="Times New Roman"/>
          <w:color w:val="000000" w:themeColor="text1"/>
          <w:sz w:val="20"/>
          <w:szCs w:val="20"/>
        </w:rPr>
      </w:pPr>
    </w:p>
    <w:p w14:paraId="1210FC54" w14:textId="77777777" w:rsidR="00C61874" w:rsidRDefault="00C61874" w:rsidP="00C61874">
      <w:pPr>
        <w:pStyle w:val="ListeParagraf"/>
        <w:numPr>
          <w:ilvl w:val="0"/>
          <w:numId w:val="1"/>
        </w:numPr>
        <w:spacing w:after="0" w:line="258" w:lineRule="atLeast"/>
        <w:ind w:left="0" w:firstLine="0"/>
        <w:jc w:val="both"/>
        <w:rPr>
          <w:rFonts w:ascii="Times New Roman" w:eastAsia="Times New Roman" w:hAnsi="Times New Roman"/>
          <w:color w:val="000000" w:themeColor="text1"/>
        </w:rPr>
      </w:pPr>
      <w:r w:rsidRPr="5D4312B7">
        <w:rPr>
          <w:rFonts w:ascii="Times New Roman" w:eastAsia="Times New Roman" w:hAnsi="Times New Roman"/>
          <w:color w:val="000000" w:themeColor="text1"/>
        </w:rPr>
        <w:t xml:space="preserve">Örnekleri topladıktan sonra kendi içerisindeki </w:t>
      </w:r>
      <w:proofErr w:type="spellStart"/>
      <w:r w:rsidRPr="5D4312B7">
        <w:rPr>
          <w:rFonts w:ascii="Times New Roman" w:eastAsia="Times New Roman" w:hAnsi="Times New Roman"/>
          <w:color w:val="000000" w:themeColor="text1"/>
        </w:rPr>
        <w:t>kryoviallerde</w:t>
      </w:r>
      <w:proofErr w:type="spellEnd"/>
      <w:r w:rsidRPr="5D4312B7">
        <w:rPr>
          <w:rFonts w:ascii="Times New Roman" w:eastAsia="Times New Roman" w:hAnsi="Times New Roman"/>
          <w:color w:val="000000" w:themeColor="text1"/>
        </w:rPr>
        <w:t xml:space="preserve"> saklamayı sağlayacak özellikte olmalıdır. </w:t>
      </w:r>
    </w:p>
    <w:p w14:paraId="30ACEBDF"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74E19D2E" w14:textId="77777777" w:rsidR="00C61874" w:rsidRDefault="00C61874" w:rsidP="00C61874">
      <w:pPr>
        <w:pStyle w:val="ListeParagraf"/>
        <w:numPr>
          <w:ilvl w:val="0"/>
          <w:numId w:val="1"/>
        </w:numPr>
        <w:spacing w:after="0" w:line="258" w:lineRule="atLeast"/>
        <w:ind w:left="0" w:firstLine="0"/>
        <w:jc w:val="both"/>
        <w:rPr>
          <w:rFonts w:ascii="Times New Roman" w:eastAsia="Times New Roman" w:hAnsi="Times New Roman"/>
          <w:color w:val="000000" w:themeColor="text1"/>
        </w:rPr>
      </w:pPr>
      <w:r w:rsidRPr="5D4312B7">
        <w:rPr>
          <w:rFonts w:ascii="Times New Roman" w:eastAsia="Times New Roman" w:hAnsi="Times New Roman"/>
          <w:color w:val="000000" w:themeColor="text1"/>
        </w:rPr>
        <w:t xml:space="preserve">Örnek hacmi aparat içerisindeki </w:t>
      </w:r>
      <w:proofErr w:type="spellStart"/>
      <w:r w:rsidRPr="5D4312B7">
        <w:rPr>
          <w:rFonts w:ascii="Times New Roman" w:eastAsia="Times New Roman" w:hAnsi="Times New Roman"/>
          <w:color w:val="000000" w:themeColor="text1"/>
        </w:rPr>
        <w:t>kryovialden</w:t>
      </w:r>
      <w:proofErr w:type="spellEnd"/>
      <w:r w:rsidRPr="5D4312B7">
        <w:rPr>
          <w:rFonts w:ascii="Times New Roman" w:eastAsia="Times New Roman" w:hAnsi="Times New Roman"/>
          <w:color w:val="000000" w:themeColor="text1"/>
        </w:rPr>
        <w:t xml:space="preserve"> fazla ise herhangi bir </w:t>
      </w:r>
      <w:proofErr w:type="spellStart"/>
      <w:r w:rsidRPr="5D4312B7">
        <w:rPr>
          <w:rFonts w:ascii="Times New Roman" w:eastAsia="Times New Roman" w:hAnsi="Times New Roman"/>
          <w:color w:val="000000" w:themeColor="text1"/>
        </w:rPr>
        <w:t>kryovail</w:t>
      </w:r>
      <w:proofErr w:type="spellEnd"/>
      <w:r w:rsidRPr="5D4312B7">
        <w:rPr>
          <w:rFonts w:ascii="Times New Roman" w:eastAsia="Times New Roman" w:hAnsi="Times New Roman"/>
          <w:color w:val="000000" w:themeColor="text1"/>
        </w:rPr>
        <w:t xml:space="preserve"> içerisine yerleştirilmeye uygun olmalıdır.</w:t>
      </w:r>
    </w:p>
    <w:p w14:paraId="0E57DF61"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5C2154D8" w14:textId="77777777" w:rsidR="00C61874" w:rsidRDefault="00C61874" w:rsidP="00C61874">
      <w:pPr>
        <w:pStyle w:val="ListeParagraf"/>
        <w:numPr>
          <w:ilvl w:val="0"/>
          <w:numId w:val="1"/>
        </w:numPr>
        <w:spacing w:after="0" w:line="258" w:lineRule="atLeast"/>
        <w:ind w:left="0" w:firstLine="0"/>
        <w:jc w:val="both"/>
        <w:rPr>
          <w:rFonts w:ascii="Times New Roman" w:eastAsia="Times New Roman" w:hAnsi="Times New Roman"/>
          <w:color w:val="000000" w:themeColor="text1"/>
        </w:rPr>
      </w:pPr>
      <w:r w:rsidRPr="5D4312B7">
        <w:rPr>
          <w:rFonts w:ascii="Times New Roman" w:eastAsia="Times New Roman" w:hAnsi="Times New Roman"/>
          <w:color w:val="000000" w:themeColor="text1"/>
        </w:rPr>
        <w:t xml:space="preserve">Tek tek paketli olarak temin edilmelidir. </w:t>
      </w:r>
    </w:p>
    <w:p w14:paraId="05C0BCB0"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4E1353B9" w14:textId="77777777" w:rsidR="00C61874" w:rsidRDefault="00C61874" w:rsidP="00C61874">
      <w:pPr>
        <w:pStyle w:val="ListeParagraf"/>
        <w:numPr>
          <w:ilvl w:val="0"/>
          <w:numId w:val="1"/>
        </w:numPr>
        <w:spacing w:after="0" w:line="258" w:lineRule="atLeast"/>
        <w:ind w:left="0" w:firstLine="0"/>
        <w:jc w:val="both"/>
        <w:rPr>
          <w:rFonts w:ascii="Times New Roman" w:eastAsia="Times New Roman" w:hAnsi="Times New Roman"/>
          <w:color w:val="000000" w:themeColor="text1"/>
        </w:rPr>
      </w:pPr>
      <w:r w:rsidRPr="5D4312B7">
        <w:rPr>
          <w:rFonts w:ascii="Times New Roman" w:eastAsia="Times New Roman" w:hAnsi="Times New Roman"/>
          <w:color w:val="000000" w:themeColor="text1"/>
        </w:rPr>
        <w:t xml:space="preserve">Numunenin doğrudan </w:t>
      </w:r>
      <w:proofErr w:type="spellStart"/>
      <w:r w:rsidRPr="5D4312B7">
        <w:rPr>
          <w:rFonts w:ascii="Times New Roman" w:eastAsia="Times New Roman" w:hAnsi="Times New Roman"/>
          <w:color w:val="000000" w:themeColor="text1"/>
        </w:rPr>
        <w:t>kryovial</w:t>
      </w:r>
      <w:proofErr w:type="spellEnd"/>
      <w:r w:rsidRPr="5D4312B7">
        <w:rPr>
          <w:rFonts w:ascii="Times New Roman" w:eastAsia="Times New Roman" w:hAnsi="Times New Roman"/>
          <w:color w:val="000000" w:themeColor="text1"/>
        </w:rPr>
        <w:t xml:space="preserve"> içerisine toplanmasına olanak vermelidir. </w:t>
      </w:r>
    </w:p>
    <w:p w14:paraId="567FCB5A"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7FA93227" w14:textId="77777777" w:rsidR="00C61874" w:rsidRDefault="00C61874" w:rsidP="00C61874">
      <w:pPr>
        <w:pStyle w:val="ListeParagraf"/>
        <w:numPr>
          <w:ilvl w:val="0"/>
          <w:numId w:val="1"/>
        </w:numPr>
        <w:spacing w:after="0" w:line="258" w:lineRule="atLeast"/>
        <w:ind w:left="0" w:firstLine="0"/>
        <w:jc w:val="both"/>
        <w:rPr>
          <w:rFonts w:ascii="Times New Roman" w:eastAsia="Times New Roman" w:hAnsi="Times New Roman"/>
          <w:color w:val="000000" w:themeColor="text1"/>
        </w:rPr>
      </w:pPr>
      <w:r w:rsidRPr="5D4312B7">
        <w:rPr>
          <w:rFonts w:ascii="Times New Roman" w:eastAsia="Times New Roman" w:hAnsi="Times New Roman"/>
          <w:color w:val="000000" w:themeColor="text1"/>
        </w:rPr>
        <w:t>Kortizol kiti ile aynı marka aparat temin edilmelidir.</w:t>
      </w:r>
    </w:p>
    <w:p w14:paraId="18F6090B"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31C59CAD" w14:textId="77777777" w:rsidR="00C61874" w:rsidRDefault="00C61874" w:rsidP="00C61874">
      <w:pPr>
        <w:pStyle w:val="ListeParagraf"/>
        <w:numPr>
          <w:ilvl w:val="0"/>
          <w:numId w:val="1"/>
        </w:numPr>
        <w:spacing w:after="0" w:line="258" w:lineRule="atLeast"/>
        <w:ind w:left="0" w:firstLine="0"/>
        <w:jc w:val="both"/>
        <w:rPr>
          <w:rFonts w:ascii="Times New Roman" w:eastAsia="Times New Roman" w:hAnsi="Times New Roman"/>
          <w:color w:val="000000" w:themeColor="text1"/>
        </w:rPr>
      </w:pPr>
      <w:r w:rsidRPr="5D4312B7">
        <w:rPr>
          <w:rFonts w:ascii="Times New Roman" w:eastAsia="Times New Roman" w:hAnsi="Times New Roman"/>
          <w:color w:val="000000" w:themeColor="text1"/>
        </w:rPr>
        <w:t>Paket içerisinde 50 adet olmalıdır.</w:t>
      </w:r>
    </w:p>
    <w:p w14:paraId="05185CBD"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12AA6181" w14:textId="77777777" w:rsidR="00C61874" w:rsidRDefault="00C61874" w:rsidP="00C61874">
      <w:pPr>
        <w:pStyle w:val="ListeParagraf"/>
        <w:numPr>
          <w:ilvl w:val="0"/>
          <w:numId w:val="1"/>
        </w:numPr>
        <w:spacing w:after="0" w:line="258" w:lineRule="atLeast"/>
        <w:ind w:left="0" w:firstLine="0"/>
        <w:jc w:val="both"/>
        <w:rPr>
          <w:rFonts w:ascii="Times New Roman" w:eastAsia="Times New Roman" w:hAnsi="Times New Roman"/>
          <w:color w:val="000000" w:themeColor="text1"/>
        </w:rPr>
      </w:pPr>
      <w:r w:rsidRPr="5D4312B7">
        <w:rPr>
          <w:rFonts w:ascii="Times New Roman" w:eastAsia="Times New Roman" w:hAnsi="Times New Roman"/>
          <w:color w:val="000000" w:themeColor="text1"/>
        </w:rPr>
        <w:t xml:space="preserve">Numunenin köpürmesini engellemek için filtreli tasarıma sahip olmalıdır. </w:t>
      </w:r>
    </w:p>
    <w:p w14:paraId="2D6B5719" w14:textId="77777777" w:rsidR="00C61874" w:rsidRDefault="00C61874" w:rsidP="00C61874">
      <w:pPr>
        <w:spacing w:after="0" w:line="258" w:lineRule="atLeast"/>
        <w:jc w:val="both"/>
        <w:rPr>
          <w:rFonts w:ascii="Times New Roman" w:eastAsia="Times New Roman" w:hAnsi="Times New Roman" w:cs="Times New Roman"/>
          <w:color w:val="000000" w:themeColor="text1"/>
          <w:sz w:val="20"/>
          <w:szCs w:val="20"/>
        </w:rPr>
      </w:pPr>
    </w:p>
    <w:p w14:paraId="4B81CF11" w14:textId="76C4175C" w:rsidR="0046322A" w:rsidRDefault="00C61874" w:rsidP="00C61874">
      <w:pPr>
        <w:pStyle w:val="ListeParagraf"/>
        <w:numPr>
          <w:ilvl w:val="0"/>
          <w:numId w:val="1"/>
        </w:numPr>
        <w:spacing w:after="0" w:line="258" w:lineRule="atLeast"/>
        <w:ind w:left="0" w:firstLine="0"/>
        <w:jc w:val="both"/>
      </w:pPr>
      <w:r w:rsidRPr="00C61874">
        <w:rPr>
          <w:rFonts w:ascii="Times New Roman" w:eastAsia="Times New Roman" w:hAnsi="Times New Roman"/>
          <w:color w:val="000000" w:themeColor="text1"/>
        </w:rPr>
        <w:t>FDA onaylı ve CE belgesi bulunmalıdır.</w:t>
      </w:r>
    </w:p>
    <w:sectPr w:rsidR="0046322A" w:rsidSect="0021346F">
      <w:pgSz w:w="11906" w:h="16838"/>
      <w:pgMar w:top="567"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99255"/>
    <w:multiLevelType w:val="hybridMultilevel"/>
    <w:tmpl w:val="FFFFFFFF"/>
    <w:lvl w:ilvl="0" w:tplc="1AF6D51A">
      <w:start w:val="1"/>
      <w:numFmt w:val="decimal"/>
      <w:lvlText w:val="%1."/>
      <w:lvlJc w:val="left"/>
      <w:pPr>
        <w:ind w:left="720" w:hanging="360"/>
      </w:pPr>
    </w:lvl>
    <w:lvl w:ilvl="1" w:tplc="DFD44F5E">
      <w:start w:val="1"/>
      <w:numFmt w:val="lowerLetter"/>
      <w:lvlText w:val="%2."/>
      <w:lvlJc w:val="left"/>
      <w:pPr>
        <w:ind w:left="1440" w:hanging="360"/>
      </w:pPr>
    </w:lvl>
    <w:lvl w:ilvl="2" w:tplc="5C3253BC">
      <w:start w:val="1"/>
      <w:numFmt w:val="lowerRoman"/>
      <w:lvlText w:val="%3."/>
      <w:lvlJc w:val="right"/>
      <w:pPr>
        <w:ind w:left="2160" w:hanging="180"/>
      </w:pPr>
    </w:lvl>
    <w:lvl w:ilvl="3" w:tplc="EC422ED2">
      <w:start w:val="1"/>
      <w:numFmt w:val="decimal"/>
      <w:lvlText w:val="%4."/>
      <w:lvlJc w:val="left"/>
      <w:pPr>
        <w:ind w:left="2880" w:hanging="360"/>
      </w:pPr>
    </w:lvl>
    <w:lvl w:ilvl="4" w:tplc="9416AC6E">
      <w:start w:val="1"/>
      <w:numFmt w:val="lowerLetter"/>
      <w:lvlText w:val="%5."/>
      <w:lvlJc w:val="left"/>
      <w:pPr>
        <w:ind w:left="3600" w:hanging="360"/>
      </w:pPr>
    </w:lvl>
    <w:lvl w:ilvl="5" w:tplc="A984BB1E">
      <w:start w:val="1"/>
      <w:numFmt w:val="lowerRoman"/>
      <w:lvlText w:val="%6."/>
      <w:lvlJc w:val="right"/>
      <w:pPr>
        <w:ind w:left="4320" w:hanging="180"/>
      </w:pPr>
    </w:lvl>
    <w:lvl w:ilvl="6" w:tplc="26B4540E">
      <w:start w:val="1"/>
      <w:numFmt w:val="decimal"/>
      <w:lvlText w:val="%7."/>
      <w:lvlJc w:val="left"/>
      <w:pPr>
        <w:ind w:left="5040" w:hanging="360"/>
      </w:pPr>
    </w:lvl>
    <w:lvl w:ilvl="7" w:tplc="0DCA78DE">
      <w:start w:val="1"/>
      <w:numFmt w:val="lowerLetter"/>
      <w:lvlText w:val="%8."/>
      <w:lvlJc w:val="left"/>
      <w:pPr>
        <w:ind w:left="5760" w:hanging="360"/>
      </w:pPr>
    </w:lvl>
    <w:lvl w:ilvl="8" w:tplc="69B60C34">
      <w:start w:val="1"/>
      <w:numFmt w:val="lowerRoman"/>
      <w:lvlText w:val="%9."/>
      <w:lvlJc w:val="right"/>
      <w:pPr>
        <w:ind w:left="6480" w:hanging="180"/>
      </w:pPr>
    </w:lvl>
  </w:abstractNum>
  <w:num w:numId="1" w16cid:durableId="1476946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74"/>
    <w:rsid w:val="00016573"/>
    <w:rsid w:val="0021346F"/>
    <w:rsid w:val="0046322A"/>
    <w:rsid w:val="00C61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E506"/>
  <w15:chartTrackingRefBased/>
  <w15:docId w15:val="{6D47E6C2-D995-4583-A365-DDDC410E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874"/>
    <w:pPr>
      <w:spacing w:after="200" w:line="276" w:lineRule="auto"/>
    </w:pPr>
    <w:rPr>
      <w:kern w:val="0"/>
      <w14:ligatures w14:val="none"/>
    </w:rPr>
  </w:style>
  <w:style w:type="paragraph" w:styleId="Balk1">
    <w:name w:val="heading 1"/>
    <w:basedOn w:val="Normal"/>
    <w:next w:val="Normal"/>
    <w:link w:val="Balk1Char"/>
    <w:uiPriority w:val="9"/>
    <w:qFormat/>
    <w:rsid w:val="00C61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61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6187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6187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6187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6187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6187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6187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6187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187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6187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6187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6187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6187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6187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6187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6187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61874"/>
    <w:rPr>
      <w:rFonts w:eastAsiaTheme="majorEastAsia" w:cstheme="majorBidi"/>
      <w:color w:val="272727" w:themeColor="text1" w:themeTint="D8"/>
    </w:rPr>
  </w:style>
  <w:style w:type="paragraph" w:styleId="KonuBal">
    <w:name w:val="Title"/>
    <w:basedOn w:val="Normal"/>
    <w:next w:val="Normal"/>
    <w:link w:val="KonuBalChar"/>
    <w:uiPriority w:val="10"/>
    <w:qFormat/>
    <w:rsid w:val="00C61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6187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6187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6187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6187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61874"/>
    <w:rPr>
      <w:i/>
      <w:iCs/>
      <w:color w:val="404040" w:themeColor="text1" w:themeTint="BF"/>
    </w:rPr>
  </w:style>
  <w:style w:type="paragraph" w:styleId="ListeParagraf">
    <w:name w:val="List Paragraph"/>
    <w:basedOn w:val="Normal"/>
    <w:uiPriority w:val="34"/>
    <w:qFormat/>
    <w:rsid w:val="00C61874"/>
    <w:pPr>
      <w:ind w:left="720"/>
      <w:contextualSpacing/>
    </w:pPr>
  </w:style>
  <w:style w:type="character" w:styleId="GlVurgulama">
    <w:name w:val="Intense Emphasis"/>
    <w:basedOn w:val="VarsaylanParagrafYazTipi"/>
    <w:uiPriority w:val="21"/>
    <w:qFormat/>
    <w:rsid w:val="00C61874"/>
    <w:rPr>
      <w:i/>
      <w:iCs/>
      <w:color w:val="0F4761" w:themeColor="accent1" w:themeShade="BF"/>
    </w:rPr>
  </w:style>
  <w:style w:type="paragraph" w:styleId="GlAlnt">
    <w:name w:val="Intense Quote"/>
    <w:basedOn w:val="Normal"/>
    <w:next w:val="Normal"/>
    <w:link w:val="GlAlntChar"/>
    <w:uiPriority w:val="30"/>
    <w:qFormat/>
    <w:rsid w:val="00C61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61874"/>
    <w:rPr>
      <w:i/>
      <w:iCs/>
      <w:color w:val="0F4761" w:themeColor="accent1" w:themeShade="BF"/>
    </w:rPr>
  </w:style>
  <w:style w:type="character" w:styleId="GlBavuru">
    <w:name w:val="Intense Reference"/>
    <w:basedOn w:val="VarsaylanParagrafYazTipi"/>
    <w:uiPriority w:val="32"/>
    <w:qFormat/>
    <w:rsid w:val="00C618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 Sekreteryasi</dc:creator>
  <cp:keywords/>
  <dc:description/>
  <cp:lastModifiedBy>BAP Sekreteryasi</cp:lastModifiedBy>
  <cp:revision>1</cp:revision>
  <cp:lastPrinted>2024-03-19T05:56:00Z</cp:lastPrinted>
  <dcterms:created xsi:type="dcterms:W3CDTF">2024-03-19T05:55:00Z</dcterms:created>
  <dcterms:modified xsi:type="dcterms:W3CDTF">2024-03-19T05:57:00Z</dcterms:modified>
</cp:coreProperties>
</file>